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附件3：</w:t>
      </w:r>
    </w:p>
    <w:p>
      <w:pPr>
        <w:snapToGrid w:val="0"/>
        <w:rPr>
          <w:rFonts w:ascii="仿宋_GB2312" w:eastAsia="仿宋_GB2312"/>
          <w:sz w:val="32"/>
          <w:szCs w:val="32"/>
        </w:rPr>
      </w:pPr>
    </w:p>
    <w:p>
      <w:pPr>
        <w:snapToGrid w:val="0"/>
        <w:jc w:val="center"/>
        <w:rPr>
          <w:rFonts w:ascii="方正小标宋_GBK" w:eastAsia="方正小标宋_GBK"/>
          <w:sz w:val="32"/>
          <w:szCs w:val="32"/>
        </w:rPr>
      </w:pPr>
      <w:bookmarkStart w:id="0" w:name="_GoBack"/>
      <w:bookmarkEnd w:id="0"/>
      <w:r>
        <w:rPr>
          <w:rFonts w:hint="eastAsia" w:ascii="方正小标宋_GBK" w:eastAsia="方正小标宋_GBK"/>
          <w:sz w:val="32"/>
          <w:szCs w:val="32"/>
        </w:rPr>
        <w:t>2020年中央预算内投资绩效目标表</w:t>
      </w:r>
    </w:p>
    <w:tbl>
      <w:tblPr>
        <w:tblStyle w:val="4"/>
        <w:tblW w:w="998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91"/>
        <w:gridCol w:w="1353"/>
        <w:gridCol w:w="204"/>
        <w:gridCol w:w="1681"/>
        <w:gridCol w:w="999"/>
        <w:gridCol w:w="1557"/>
        <w:gridCol w:w="994"/>
        <w:gridCol w:w="601"/>
        <w:gridCol w:w="8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专项名称</w:t>
            </w:r>
          </w:p>
        </w:tc>
        <w:tc>
          <w:tcPr>
            <w:tcW w:w="68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社会服务兜底工程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资金情况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总投资（万元）</w:t>
            </w:r>
          </w:p>
        </w:tc>
        <w:tc>
          <w:tcPr>
            <w:tcW w:w="28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本次申请投资（万元）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总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体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目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50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实施期目标（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年—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年）</w:t>
            </w:r>
          </w:p>
        </w:tc>
        <w:tc>
          <w:tcPr>
            <w:tcW w:w="39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年度目标（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1.…；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2.…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 xml:space="preserve">；                            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3.…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 xml:space="preserve">…                                       </w:t>
            </w:r>
          </w:p>
        </w:tc>
        <w:tc>
          <w:tcPr>
            <w:tcW w:w="39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1.…；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2.…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 xml:space="preserve">；                            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3.…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 xml:space="preserve">…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一级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产出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效益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5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服务对象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服务对象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过程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管理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指标</w:t>
            </w:r>
          </w:p>
          <w:p>
            <w:pPr>
              <w:snapToGrid w:val="0"/>
              <w:ind w:firstLine="32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计划管理指标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投资计划转发（分解）用时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计划管理指标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投资计划转发（分解）用时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“两个责任”按项目落实到位率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“两个责任”按项目落实到位率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资金管理指标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（中央预算内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投资）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资金到位率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资金管理指标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（中央预算内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投资）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资金到位率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资金支付率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资金支付率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2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资金管理指标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（地方建设资金等其他资金）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资金到位率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资金管理指标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（地方建设资金等其他资金）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资金到位率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资金支付率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资金支付率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项目管理指标</w:t>
            </w: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项目按计划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开工率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项目管理指标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项目按计划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开工率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超规模、超标准、超概算项目比例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18"/>
              </w:rPr>
              <w:t>超规模、超标准、超概算项目比例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napToGrid w:val="0"/>
        <w:contextualSpacing/>
        <w:rPr>
          <w:color w:val="000000"/>
          <w:kern w:val="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>注：1. 可根据指标数量调整表格行数。</w:t>
      </w:r>
    </w:p>
    <w:p>
      <w:pPr>
        <w:snapToGrid w:val="0"/>
        <w:ind w:firstLine="360"/>
        <w:contextualSpacing/>
        <w:rPr>
          <w:color w:val="000000"/>
          <w:kern w:val="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>2. 当年预计能够完成建设任务的，可不填写实施期目标，仅填写年度目标。</w:t>
      </w:r>
    </w:p>
    <w:p>
      <w:pPr>
        <w:snapToGrid w:val="0"/>
        <w:ind w:firstLine="360"/>
        <w:contextualSpacing/>
        <w:rPr>
          <w:color w:val="000000"/>
          <w:kern w:val="0"/>
          <w:sz w:val="16"/>
          <w:szCs w:val="16"/>
        </w:rPr>
      </w:pPr>
      <w:r>
        <w:rPr>
          <w:rFonts w:hint="eastAsia"/>
          <w:color w:val="000000"/>
          <w:kern w:val="0"/>
          <w:sz w:val="18"/>
          <w:szCs w:val="18"/>
        </w:rPr>
        <w:t>3. 能够量化的指标值应包含单位，如“1000人”、“≤5%”等。</w:t>
      </w:r>
    </w:p>
    <w:p>
      <w:pPr>
        <w:widowControl/>
        <w:jc w:val="left"/>
        <w:rPr>
          <w:rFonts w:ascii="方正小标宋_GBK" w:hAnsi="黑体" w:eastAsia="方正小标宋_GBK"/>
          <w:sz w:val="40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ymbol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4A48B3"/>
    <w:rsid w:val="5D20199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i</dc:creator>
  <cp:lastModifiedBy>NTKO</cp:lastModifiedBy>
  <dcterms:modified xsi:type="dcterms:W3CDTF">2019-10-23T01:11:07Z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